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9A" w:rsidRDefault="008A439A">
      <w:pPr>
        <w:pStyle w:val="ConsPlusNormal"/>
        <w:jc w:val="both"/>
      </w:pPr>
    </w:p>
    <w:p w:rsidR="008A439A" w:rsidRDefault="008A439A">
      <w:pPr>
        <w:pStyle w:val="ConsPlusNormal"/>
        <w:jc w:val="right"/>
        <w:outlineLvl w:val="0"/>
      </w:pPr>
      <w:r>
        <w:t>Утверждено</w:t>
      </w:r>
    </w:p>
    <w:p w:rsidR="008A439A" w:rsidRDefault="008A439A">
      <w:pPr>
        <w:pStyle w:val="ConsPlusNormal"/>
        <w:jc w:val="right"/>
      </w:pPr>
      <w:r>
        <w:t>Решением Совета</w:t>
      </w:r>
    </w:p>
    <w:p w:rsidR="008A439A" w:rsidRDefault="008A439A">
      <w:pPr>
        <w:pStyle w:val="ConsPlusNormal"/>
        <w:jc w:val="right"/>
      </w:pPr>
      <w:r>
        <w:t>муниципального образования</w:t>
      </w:r>
    </w:p>
    <w:p w:rsidR="008A439A" w:rsidRDefault="008A439A">
      <w:pPr>
        <w:pStyle w:val="ConsPlusNormal"/>
        <w:jc w:val="right"/>
      </w:pPr>
      <w:r>
        <w:t>"</w:t>
      </w:r>
      <w:proofErr w:type="spellStart"/>
      <w:r>
        <w:t>Тишковский</w:t>
      </w:r>
      <w:proofErr w:type="spellEnd"/>
      <w:r>
        <w:t xml:space="preserve"> сельсовет"</w:t>
      </w:r>
    </w:p>
    <w:p w:rsidR="008A439A" w:rsidRDefault="008A439A">
      <w:pPr>
        <w:pStyle w:val="ConsPlusNormal"/>
        <w:jc w:val="right"/>
      </w:pPr>
      <w:r>
        <w:t>от 20 ноября 2024 г. N 22</w:t>
      </w:r>
    </w:p>
    <w:p w:rsidR="008A439A" w:rsidRDefault="008A439A">
      <w:pPr>
        <w:pStyle w:val="ConsPlusNormal"/>
        <w:jc w:val="both"/>
      </w:pPr>
    </w:p>
    <w:p w:rsidR="008A439A" w:rsidRDefault="008A439A">
      <w:pPr>
        <w:pStyle w:val="ConsPlusTitle"/>
        <w:jc w:val="center"/>
      </w:pPr>
      <w:bookmarkStart w:id="0" w:name="P53"/>
      <w:bookmarkEnd w:id="0"/>
      <w:r>
        <w:t>ПОЛОЖЕНИЕ</w:t>
      </w:r>
    </w:p>
    <w:p w:rsidR="008A439A" w:rsidRDefault="008A439A">
      <w:pPr>
        <w:pStyle w:val="ConsPlusTitle"/>
        <w:jc w:val="center"/>
      </w:pPr>
      <w:r>
        <w:t>О НАЛОГЕ НА ИМУЩЕСТВО ФИЗИЧЕСКИХ ЛИЦ</w:t>
      </w:r>
    </w:p>
    <w:p w:rsidR="008A439A" w:rsidRDefault="008A439A">
      <w:pPr>
        <w:pStyle w:val="ConsPlusTitle"/>
        <w:jc w:val="center"/>
      </w:pPr>
      <w:r>
        <w:t>НА ТЕРРИТОРИИ МО "ТИШКОВСКИЙ СЕЛЬСОВЕТ"</w:t>
      </w:r>
    </w:p>
    <w:p w:rsidR="008A439A" w:rsidRDefault="008A439A">
      <w:pPr>
        <w:pStyle w:val="ConsPlusNormal"/>
        <w:jc w:val="both"/>
      </w:pPr>
    </w:p>
    <w:p w:rsidR="008A439A" w:rsidRDefault="008A439A">
      <w:pPr>
        <w:pStyle w:val="ConsPlusTitle"/>
        <w:jc w:val="center"/>
        <w:outlineLvl w:val="1"/>
      </w:pPr>
      <w:r>
        <w:t>1. Общие положения</w:t>
      </w:r>
    </w:p>
    <w:p w:rsidR="008A439A" w:rsidRDefault="008A439A">
      <w:pPr>
        <w:pStyle w:val="ConsPlusNormal"/>
        <w:jc w:val="both"/>
      </w:pPr>
    </w:p>
    <w:p w:rsidR="008A439A" w:rsidRPr="00517F2F" w:rsidRDefault="008A439A">
      <w:pPr>
        <w:pStyle w:val="ConsPlusNormal"/>
        <w:ind w:firstLine="540"/>
        <w:jc w:val="both"/>
      </w:pPr>
      <w:r w:rsidRPr="00517F2F">
        <w:t xml:space="preserve">1.1. Налог на имущество физических лиц устанавливается в соответствии с Налоговым </w:t>
      </w:r>
      <w:hyperlink r:id="rId4">
        <w:r w:rsidRPr="00517F2F">
          <w:t>кодексом</w:t>
        </w:r>
      </w:hyperlink>
      <w:r w:rsidRPr="00517F2F">
        <w:t xml:space="preserve"> Российской Федерации, </w:t>
      </w:r>
      <w:hyperlink r:id="rId5">
        <w:r w:rsidRPr="00517F2F">
          <w:t>Уставом</w:t>
        </w:r>
      </w:hyperlink>
      <w:r w:rsidRPr="00517F2F">
        <w:t xml:space="preserve"> МО "</w:t>
      </w:r>
      <w:proofErr w:type="spellStart"/>
      <w:r w:rsidRPr="00517F2F">
        <w:t>Тишковский</w:t>
      </w:r>
      <w:proofErr w:type="spellEnd"/>
      <w:r w:rsidRPr="00517F2F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1.2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настоящей статьей.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Title"/>
        <w:jc w:val="center"/>
        <w:outlineLvl w:val="1"/>
      </w:pPr>
      <w:r w:rsidRPr="00517F2F">
        <w:t>2. Налоговые ставки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Normal"/>
        <w:ind w:firstLine="540"/>
        <w:jc w:val="both"/>
      </w:pPr>
      <w:r w:rsidRPr="00517F2F">
        <w:t>Ставки налога на недвижимое имущество устанавливаются в следующих размерах:</w:t>
      </w:r>
    </w:p>
    <w:p w:rsidR="008A439A" w:rsidRPr="00517F2F" w:rsidRDefault="008A43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6"/>
        <w:gridCol w:w="1701"/>
      </w:tblGrid>
      <w:tr w:rsidR="00517F2F" w:rsidRPr="00517F2F" w:rsidTr="00517F2F">
        <w:tc>
          <w:tcPr>
            <w:tcW w:w="7366" w:type="dxa"/>
          </w:tcPr>
          <w:p w:rsidR="008A439A" w:rsidRPr="00517F2F" w:rsidRDefault="008A439A">
            <w:pPr>
              <w:pStyle w:val="ConsPlusNormal"/>
              <w:jc w:val="center"/>
            </w:pPr>
            <w:r w:rsidRPr="00517F2F">
              <w:t>В отношении объектов</w:t>
            </w:r>
          </w:p>
        </w:tc>
        <w:tc>
          <w:tcPr>
            <w:tcW w:w="1701" w:type="dxa"/>
          </w:tcPr>
          <w:p w:rsidR="008A439A" w:rsidRPr="00517F2F" w:rsidRDefault="008A439A">
            <w:pPr>
              <w:pStyle w:val="ConsPlusNormal"/>
              <w:jc w:val="center"/>
            </w:pPr>
            <w:r w:rsidRPr="00517F2F">
              <w:t>Ставка налога</w:t>
            </w:r>
          </w:p>
        </w:tc>
      </w:tr>
      <w:tr w:rsidR="00517F2F" w:rsidRPr="00517F2F" w:rsidTr="00517F2F">
        <w:tc>
          <w:tcPr>
            <w:tcW w:w="7366" w:type="dxa"/>
          </w:tcPr>
          <w:p w:rsidR="008A439A" w:rsidRPr="00517F2F" w:rsidRDefault="008A439A">
            <w:pPr>
              <w:pStyle w:val="ConsPlusNormal"/>
            </w:pPr>
            <w:r w:rsidRPr="00517F2F">
              <w:t>- жилых домов, частей жилых домов, квартир, частей квартир, комнат,</w:t>
            </w:r>
          </w:p>
          <w:p w:rsidR="008A439A" w:rsidRPr="00517F2F" w:rsidRDefault="008A439A">
            <w:pPr>
              <w:pStyle w:val="ConsPlusNormal"/>
            </w:pPr>
            <w:r w:rsidRPr="00517F2F">
              <w:t>- 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8A439A" w:rsidRPr="00517F2F" w:rsidRDefault="008A439A">
            <w:pPr>
              <w:pStyle w:val="ConsPlusNormal"/>
            </w:pPr>
            <w:r w:rsidRPr="00517F2F">
              <w:t>- единых недвижимых комплексов, в состав которых входит хотя бы один жилой дом;</w:t>
            </w:r>
          </w:p>
          <w:p w:rsidR="008A439A" w:rsidRPr="00517F2F" w:rsidRDefault="008A439A">
            <w:pPr>
              <w:pStyle w:val="ConsPlusNormal"/>
            </w:pPr>
            <w:r w:rsidRPr="00517F2F">
              <w:t xml:space="preserve">- гаражей и </w:t>
            </w:r>
            <w:proofErr w:type="spellStart"/>
            <w:r w:rsidRPr="00517F2F">
              <w:t>машино</w:t>
            </w:r>
            <w:proofErr w:type="spellEnd"/>
            <w:r w:rsidRPr="00517F2F">
              <w:t xml:space="preserve">-мест, в том числе расположенных в объектах налогообложения, указанных в </w:t>
            </w:r>
            <w:hyperlink r:id="rId6">
              <w:r w:rsidRPr="00517F2F">
                <w:t>подпункте 2 пункта 2 ст. 406</w:t>
              </w:r>
            </w:hyperlink>
            <w:r w:rsidRPr="00517F2F">
              <w:t xml:space="preserve"> Налогового кодекса РФ;</w:t>
            </w:r>
          </w:p>
          <w:p w:rsidR="008A439A" w:rsidRPr="00517F2F" w:rsidRDefault="008A439A">
            <w:pPr>
              <w:pStyle w:val="ConsPlusNormal"/>
            </w:pPr>
            <w:r w:rsidRPr="00517F2F">
              <w:t>-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8A439A" w:rsidRPr="00517F2F" w:rsidRDefault="008A439A">
            <w:pPr>
              <w:pStyle w:val="ConsPlusNormal"/>
              <w:jc w:val="center"/>
            </w:pPr>
            <w:r w:rsidRPr="00517F2F">
              <w:t>0,3.%</w:t>
            </w:r>
          </w:p>
        </w:tc>
      </w:tr>
      <w:tr w:rsidR="00517F2F" w:rsidRPr="00517F2F" w:rsidTr="00517F2F">
        <w:tc>
          <w:tcPr>
            <w:tcW w:w="7366" w:type="dxa"/>
          </w:tcPr>
          <w:p w:rsidR="008A439A" w:rsidRPr="00517F2F" w:rsidRDefault="008A439A">
            <w:pPr>
              <w:pStyle w:val="ConsPlusNormal"/>
            </w:pPr>
            <w:r w:rsidRPr="00517F2F">
              <w:t xml:space="preserve">- объекты налогообложения, включенные в перечень, определяемый в соответствии с </w:t>
            </w:r>
            <w:hyperlink r:id="rId7">
              <w:r w:rsidRPr="00517F2F">
                <w:t>пунктом 7 статьи 378.2</w:t>
              </w:r>
            </w:hyperlink>
            <w:r w:rsidRPr="00517F2F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8">
              <w:r w:rsidRPr="00517F2F">
                <w:t>абзацем вторым пункта 10 статьи 378.2</w:t>
              </w:r>
            </w:hyperlink>
            <w:r w:rsidRPr="00517F2F"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701" w:type="dxa"/>
          </w:tcPr>
          <w:p w:rsidR="008A439A" w:rsidRPr="00517F2F" w:rsidRDefault="008A439A">
            <w:pPr>
              <w:pStyle w:val="ConsPlusNormal"/>
              <w:jc w:val="center"/>
            </w:pPr>
            <w:r w:rsidRPr="00517F2F">
              <w:t>1%</w:t>
            </w:r>
          </w:p>
        </w:tc>
      </w:tr>
      <w:tr w:rsidR="00517F2F" w:rsidRPr="00517F2F" w:rsidTr="00517F2F">
        <w:tc>
          <w:tcPr>
            <w:tcW w:w="7366" w:type="dxa"/>
          </w:tcPr>
          <w:p w:rsidR="008A439A" w:rsidRPr="00517F2F" w:rsidRDefault="008A439A">
            <w:pPr>
              <w:pStyle w:val="ConsPlusNormal"/>
            </w:pPr>
            <w:r w:rsidRPr="00517F2F">
              <w:t>прочие объекты налогообложения</w:t>
            </w:r>
          </w:p>
        </w:tc>
        <w:tc>
          <w:tcPr>
            <w:tcW w:w="1701" w:type="dxa"/>
          </w:tcPr>
          <w:p w:rsidR="008A439A" w:rsidRPr="00517F2F" w:rsidRDefault="008A439A">
            <w:pPr>
              <w:pStyle w:val="ConsPlusNormal"/>
              <w:jc w:val="center"/>
            </w:pPr>
            <w:r w:rsidRPr="00517F2F">
              <w:t>0,5%</w:t>
            </w:r>
          </w:p>
        </w:tc>
      </w:tr>
    </w:tbl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Title"/>
        <w:jc w:val="center"/>
        <w:outlineLvl w:val="2"/>
      </w:pPr>
      <w:r w:rsidRPr="00517F2F">
        <w:t>Налоговые вычеты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Normal"/>
        <w:ind w:firstLine="540"/>
        <w:jc w:val="both"/>
      </w:pPr>
      <w:r w:rsidRPr="00517F2F">
        <w:t>На территории МО "</w:t>
      </w:r>
      <w:proofErr w:type="spellStart"/>
      <w:r w:rsidRPr="00517F2F">
        <w:t>Тишковский</w:t>
      </w:r>
      <w:proofErr w:type="spellEnd"/>
      <w:r w:rsidRPr="00517F2F">
        <w:t xml:space="preserve"> сельсовет" предусматриваются налоговые вычеты, </w:t>
      </w:r>
      <w:r w:rsidRPr="00517F2F">
        <w:lastRenderedPageBreak/>
        <w:t xml:space="preserve">предусмотренные </w:t>
      </w:r>
      <w:hyperlink r:id="rId9">
        <w:r w:rsidRPr="00517F2F">
          <w:t>статьей 403</w:t>
        </w:r>
      </w:hyperlink>
      <w:r w:rsidRPr="00517F2F">
        <w:t xml:space="preserve"> НК РФ, а именно: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-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-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- Налоговая база в отношении площади жилого дома определяется как его кадастровая стоимость, уменьшенная на величину кадастровой стоимости 50 квадратных общей площади этого жилого дома.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Title"/>
        <w:jc w:val="center"/>
        <w:outlineLvl w:val="2"/>
      </w:pPr>
      <w:r w:rsidRPr="00517F2F">
        <w:t>Льготы по налогу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Normal"/>
        <w:ind w:firstLine="540"/>
        <w:jc w:val="both"/>
      </w:pPr>
      <w:r w:rsidRPr="00517F2F">
        <w:t xml:space="preserve">Категории граждан, которым предоставлены льготы по налогу на имущество физических лиц в соответствии с Налоговым кодексом Российской Федерации </w:t>
      </w:r>
      <w:hyperlink r:id="rId10">
        <w:r w:rsidRPr="00517F2F">
          <w:t>(ст. 407)</w:t>
        </w:r>
      </w:hyperlink>
      <w:r w:rsidRPr="00517F2F">
        <w:t>: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1) Герои Советского Союза и Герои Российской Федерации, а также лица, награжденные орденом Славы трех степеней;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2) инвалиды I и II групп инвалидности;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3) инвалиды с детства, дети-инвалиды;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3.1) опекуны инвалида с детства, признанного судом недееспособным;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 xml:space="preserve">6) лица, имеющие право на получение социальной поддержки в соответствии с </w:t>
      </w:r>
      <w:hyperlink r:id="rId11">
        <w:r w:rsidRPr="00517F2F">
          <w:t>Законом</w:t>
        </w:r>
      </w:hyperlink>
      <w:r w:rsidRPr="00517F2F"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2">
        <w:r w:rsidRPr="00517F2F">
          <w:t>законом</w:t>
        </w:r>
      </w:hyperlink>
      <w:r w:rsidRPr="00517F2F">
        <w:t xml:space="preserve"> от 26 ноября 1998 года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517F2F">
        <w:t>Теча</w:t>
      </w:r>
      <w:proofErr w:type="spellEnd"/>
      <w:r w:rsidRPr="00517F2F">
        <w:t xml:space="preserve">" и Федеральным </w:t>
      </w:r>
      <w:hyperlink r:id="rId13">
        <w:r w:rsidRPr="00517F2F">
          <w:t>законом</w:t>
        </w:r>
      </w:hyperlink>
      <w:r w:rsidRPr="00517F2F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 xml:space="preserve"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</w:t>
      </w:r>
      <w:r w:rsidRPr="00517F2F">
        <w:lastRenderedPageBreak/>
        <w:t>организационно-штатными мероприятиями, имеющие общую продолжительность военной службы 20 лет и более;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 xml:space="preserve">9) члены семей военнослужащих, потерявших кормильца, признаваемые таковыми в соответствии с Федеральным </w:t>
      </w:r>
      <w:hyperlink r:id="rId14">
        <w:r w:rsidRPr="00517F2F">
          <w:t>законом</w:t>
        </w:r>
      </w:hyperlink>
      <w:r w:rsidRPr="00517F2F">
        <w:t xml:space="preserve"> от 27 мая 1998 года N 76-ФЗ "О статусе военнослужащих";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 xml:space="preserve"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</w:t>
      </w:r>
      <w:bookmarkStart w:id="1" w:name="_GoBack"/>
      <w:r w:rsidRPr="00517F2F">
        <w:t>ежемесячное пожизненное содержание;</w:t>
      </w:r>
    </w:p>
    <w:bookmarkEnd w:id="1"/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10.1)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 xml:space="preserve">11) граждане, уволенные с военной службы или </w:t>
      </w:r>
      <w:proofErr w:type="spellStart"/>
      <w:r w:rsidRPr="00517F2F">
        <w:t>призывавшиеся</w:t>
      </w:r>
      <w:proofErr w:type="spellEnd"/>
      <w:r w:rsidRPr="00517F2F"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13) родители и супруги военнослужащих и государственных служащих, погибших при исполнении служебных обязанностей;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8A439A" w:rsidRPr="00517F2F" w:rsidRDefault="008A439A">
      <w:pPr>
        <w:pStyle w:val="ConsPlusNormal"/>
        <w:spacing w:before="220"/>
        <w:ind w:firstLine="540"/>
        <w:jc w:val="both"/>
      </w:pPr>
      <w:r w:rsidRPr="00517F2F">
        <w:t>15) физические лица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 или индивидуального жилищного строительства.</w:t>
      </w:r>
    </w:p>
    <w:p w:rsidR="008A439A" w:rsidRPr="00517F2F" w:rsidRDefault="008A439A">
      <w:pPr>
        <w:pStyle w:val="ConsPlusNormal"/>
        <w:jc w:val="both"/>
      </w:pPr>
    </w:p>
    <w:p w:rsidR="008A439A" w:rsidRPr="00517F2F" w:rsidRDefault="008A439A">
      <w:pPr>
        <w:pStyle w:val="ConsPlusNormal"/>
        <w:jc w:val="both"/>
      </w:pPr>
    </w:p>
    <w:p w:rsidR="00E75067" w:rsidRPr="00517F2F" w:rsidRDefault="00E75067"/>
    <w:sectPr w:rsidR="00E75067" w:rsidRPr="00517F2F" w:rsidSect="0014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9A"/>
    <w:rsid w:val="00517F2F"/>
    <w:rsid w:val="008A439A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190B9-3441-413E-8BB0-0A6EFE0A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79&amp;dst=13986" TargetMode="External"/><Relationship Id="rId13" Type="http://schemas.openxmlformats.org/officeDocument/2006/relationships/hyperlink" Target="https://login.consultant.ru/link/?req=doc&amp;base=LAW&amp;n=4665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79&amp;dst=9219" TargetMode="External"/><Relationship Id="rId12" Type="http://schemas.openxmlformats.org/officeDocument/2006/relationships/hyperlink" Target="https://login.consultant.ru/link/?req=doc&amp;base=LAW&amp;n=4665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79&amp;dst=26404" TargetMode="External"/><Relationship Id="rId11" Type="http://schemas.openxmlformats.org/officeDocument/2006/relationships/hyperlink" Target="https://login.consultant.ru/link/?req=doc&amp;base=LAW&amp;n=470690" TargetMode="External"/><Relationship Id="rId5" Type="http://schemas.openxmlformats.org/officeDocument/2006/relationships/hyperlink" Target="https://login.consultant.ru/link/?req=doc&amp;base=RLAW322&amp;n=1082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79&amp;dst=10385" TargetMode="External"/><Relationship Id="rId4" Type="http://schemas.openxmlformats.org/officeDocument/2006/relationships/hyperlink" Target="https://login.consultant.ru/link/?req=doc&amp;base=LAW&amp;n=494979" TargetMode="External"/><Relationship Id="rId9" Type="http://schemas.openxmlformats.org/officeDocument/2006/relationships/hyperlink" Target="https://login.consultant.ru/link/?req=doc&amp;base=LAW&amp;n=494979&amp;dst=20189" TargetMode="External"/><Relationship Id="rId14" Type="http://schemas.openxmlformats.org/officeDocument/2006/relationships/hyperlink" Target="https://login.consultant.ru/link/?req=doc&amp;base=LAW&amp;n=495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2025-12-04T13:12:00Z</dcterms:created>
  <dcterms:modified xsi:type="dcterms:W3CDTF">2025-12-04T13:12:00Z</dcterms:modified>
</cp:coreProperties>
</file>